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2B94E" w14:textId="77777777" w:rsidR="00886B17" w:rsidRDefault="00000000">
      <w:pPr>
        <w:jc w:val="center"/>
      </w:pPr>
      <w:r>
        <w:rPr>
          <w:b/>
          <w:color w:val="1F4E79"/>
          <w:sz w:val="32"/>
        </w:rPr>
        <w:t>UAB “FLEXO CAPITAL”</w:t>
      </w:r>
    </w:p>
    <w:p w14:paraId="377BE324" w14:textId="77777777" w:rsidR="00886B17" w:rsidRDefault="00000000">
      <w:pPr>
        <w:jc w:val="center"/>
      </w:pPr>
      <w:r>
        <w:rPr>
          <w:b/>
          <w:color w:val="1F4E79"/>
          <w:sz w:val="36"/>
        </w:rPr>
        <w:t>ENVIRONMENTAL, SOCIAL AND GOVERNANCE POLICY</w:t>
      </w:r>
    </w:p>
    <w:p w14:paraId="26C5B4F2" w14:textId="6624B257" w:rsidR="00886B17" w:rsidRDefault="00886B17">
      <w:pPr>
        <w:jc w:val="center"/>
      </w:pPr>
    </w:p>
    <w:tbl>
      <w:tblPr>
        <w:tblStyle w:val="TableGrid"/>
        <w:tblW w:w="0" w:type="auto"/>
        <w:jc w:val="center"/>
        <w:tblLook w:val="04A0" w:firstRow="1" w:lastRow="0" w:firstColumn="1" w:lastColumn="0" w:noHBand="0" w:noVBand="1"/>
      </w:tblPr>
      <w:tblGrid>
        <w:gridCol w:w="4868"/>
        <w:gridCol w:w="4868"/>
      </w:tblGrid>
      <w:tr w:rsidR="00886B17" w14:paraId="0B419127" w14:textId="77777777">
        <w:trPr>
          <w:jc w:val="center"/>
        </w:trPr>
        <w:tc>
          <w:tcPr>
            <w:tcW w:w="4873" w:type="dxa"/>
            <w:shd w:val="clear" w:color="auto" w:fill="D9EAF7"/>
            <w:vAlign w:val="center"/>
          </w:tcPr>
          <w:p w14:paraId="574C26E2" w14:textId="77777777" w:rsidR="00886B17" w:rsidRDefault="00000000">
            <w:pPr>
              <w:spacing w:after="0"/>
            </w:pPr>
            <w:r>
              <w:rPr>
                <w:b/>
                <w:sz w:val="20"/>
              </w:rPr>
              <w:t>Approved by</w:t>
            </w:r>
          </w:p>
        </w:tc>
        <w:tc>
          <w:tcPr>
            <w:tcW w:w="4873" w:type="dxa"/>
            <w:vAlign w:val="center"/>
          </w:tcPr>
          <w:p w14:paraId="1F7CA137" w14:textId="77777777" w:rsidR="00886B17" w:rsidRDefault="00000000">
            <w:pPr>
              <w:spacing w:after="0"/>
            </w:pPr>
            <w:r>
              <w:rPr>
                <w:sz w:val="20"/>
              </w:rPr>
              <w:t>Resolution of the Management Board No. 20230302</w:t>
            </w:r>
          </w:p>
        </w:tc>
      </w:tr>
      <w:tr w:rsidR="00886B17" w14:paraId="2A33D9C5" w14:textId="77777777">
        <w:trPr>
          <w:jc w:val="center"/>
        </w:trPr>
        <w:tc>
          <w:tcPr>
            <w:tcW w:w="4873" w:type="dxa"/>
            <w:shd w:val="clear" w:color="auto" w:fill="D9EAF7"/>
            <w:vAlign w:val="center"/>
          </w:tcPr>
          <w:p w14:paraId="6D6A344C" w14:textId="77777777" w:rsidR="00886B17" w:rsidRDefault="00000000">
            <w:pPr>
              <w:spacing w:after="0"/>
            </w:pPr>
            <w:r>
              <w:rPr>
                <w:b/>
                <w:sz w:val="20"/>
              </w:rPr>
              <w:t>Approval date</w:t>
            </w:r>
          </w:p>
        </w:tc>
        <w:tc>
          <w:tcPr>
            <w:tcW w:w="4873" w:type="dxa"/>
            <w:vAlign w:val="center"/>
          </w:tcPr>
          <w:p w14:paraId="1E652B1E" w14:textId="77777777" w:rsidR="00886B17" w:rsidRDefault="00000000">
            <w:pPr>
              <w:spacing w:after="0"/>
            </w:pPr>
            <w:r>
              <w:rPr>
                <w:sz w:val="20"/>
              </w:rPr>
              <w:t>2 March 2023</w:t>
            </w:r>
          </w:p>
        </w:tc>
      </w:tr>
    </w:tbl>
    <w:p w14:paraId="22361311" w14:textId="77777777" w:rsidR="00886B17" w:rsidRDefault="00886B17"/>
    <w:p w14:paraId="0F862502" w14:textId="77777777" w:rsidR="00886B17" w:rsidRDefault="00000000">
      <w:pPr>
        <w:pStyle w:val="Heading1"/>
      </w:pPr>
      <w:r>
        <w:t>Definitions</w:t>
      </w:r>
    </w:p>
    <w:tbl>
      <w:tblPr>
        <w:tblStyle w:val="TableGrid"/>
        <w:tblW w:w="0" w:type="auto"/>
        <w:jc w:val="center"/>
        <w:tblLook w:val="04A0" w:firstRow="1" w:lastRow="0" w:firstColumn="1" w:lastColumn="0" w:noHBand="0" w:noVBand="1"/>
      </w:tblPr>
      <w:tblGrid>
        <w:gridCol w:w="4868"/>
        <w:gridCol w:w="4868"/>
      </w:tblGrid>
      <w:tr w:rsidR="00886B17" w14:paraId="59149066" w14:textId="77777777">
        <w:trPr>
          <w:jc w:val="center"/>
        </w:trPr>
        <w:tc>
          <w:tcPr>
            <w:tcW w:w="4873" w:type="dxa"/>
            <w:shd w:val="clear" w:color="auto" w:fill="EAF2F8"/>
          </w:tcPr>
          <w:p w14:paraId="28466930" w14:textId="77777777" w:rsidR="00886B17" w:rsidRDefault="00000000">
            <w:pPr>
              <w:spacing w:after="0"/>
            </w:pPr>
            <w:r>
              <w:rPr>
                <w:b/>
                <w:sz w:val="20"/>
              </w:rPr>
              <w:t>Company</w:t>
            </w:r>
          </w:p>
        </w:tc>
        <w:tc>
          <w:tcPr>
            <w:tcW w:w="4873" w:type="dxa"/>
          </w:tcPr>
          <w:p w14:paraId="303E1767" w14:textId="77777777" w:rsidR="00886B17" w:rsidRDefault="00000000">
            <w:pPr>
              <w:spacing w:after="0"/>
            </w:pPr>
            <w:r>
              <w:rPr>
                <w:sz w:val="20"/>
              </w:rPr>
              <w:t>Flexo Capital UAB.</w:t>
            </w:r>
          </w:p>
        </w:tc>
      </w:tr>
      <w:tr w:rsidR="00886B17" w14:paraId="444EFB28" w14:textId="77777777">
        <w:trPr>
          <w:jc w:val="center"/>
        </w:trPr>
        <w:tc>
          <w:tcPr>
            <w:tcW w:w="4873" w:type="dxa"/>
            <w:shd w:val="clear" w:color="auto" w:fill="EAF2F8"/>
          </w:tcPr>
          <w:p w14:paraId="04F48BEC" w14:textId="77777777" w:rsidR="00886B17" w:rsidRDefault="00000000">
            <w:pPr>
              <w:spacing w:after="0"/>
            </w:pPr>
            <w:r>
              <w:rPr>
                <w:b/>
                <w:sz w:val="20"/>
              </w:rPr>
              <w:t>Flexo Capital</w:t>
            </w:r>
          </w:p>
        </w:tc>
        <w:tc>
          <w:tcPr>
            <w:tcW w:w="4873" w:type="dxa"/>
          </w:tcPr>
          <w:p w14:paraId="34A8A1AB" w14:textId="77777777" w:rsidR="00886B17" w:rsidRDefault="00000000">
            <w:pPr>
              <w:spacing w:after="0"/>
            </w:pPr>
            <w:r>
              <w:rPr>
                <w:sz w:val="20"/>
              </w:rPr>
              <w:t>Flexo Capital UAB.</w:t>
            </w:r>
          </w:p>
        </w:tc>
      </w:tr>
      <w:tr w:rsidR="00886B17" w14:paraId="2A1BC9C3" w14:textId="77777777">
        <w:trPr>
          <w:jc w:val="center"/>
        </w:trPr>
        <w:tc>
          <w:tcPr>
            <w:tcW w:w="4873" w:type="dxa"/>
            <w:shd w:val="clear" w:color="auto" w:fill="EAF2F8"/>
          </w:tcPr>
          <w:p w14:paraId="250605CC" w14:textId="77777777" w:rsidR="00886B17" w:rsidRDefault="00000000">
            <w:pPr>
              <w:spacing w:after="0"/>
            </w:pPr>
            <w:r>
              <w:rPr>
                <w:b/>
                <w:sz w:val="20"/>
              </w:rPr>
              <w:t>UN Principles for Responsible Investment (PRI)</w:t>
            </w:r>
          </w:p>
        </w:tc>
        <w:tc>
          <w:tcPr>
            <w:tcW w:w="4873" w:type="dxa"/>
          </w:tcPr>
          <w:p w14:paraId="73193BE6" w14:textId="77777777" w:rsidR="00886B17" w:rsidRDefault="00000000">
            <w:pPr>
              <w:spacing w:after="0"/>
            </w:pPr>
            <w:r>
              <w:rPr>
                <w:sz w:val="20"/>
              </w:rPr>
              <w:t>The United Nations Principles for Responsible Investment; investor-developed and United Nations-supported principles intended to contribute to the development of a more sustainable global financial system.</w:t>
            </w:r>
          </w:p>
        </w:tc>
      </w:tr>
      <w:tr w:rsidR="00886B17" w14:paraId="42890EEB" w14:textId="77777777">
        <w:trPr>
          <w:jc w:val="center"/>
        </w:trPr>
        <w:tc>
          <w:tcPr>
            <w:tcW w:w="4873" w:type="dxa"/>
            <w:shd w:val="clear" w:color="auto" w:fill="EAF2F8"/>
          </w:tcPr>
          <w:p w14:paraId="07180434" w14:textId="77777777" w:rsidR="00886B17" w:rsidRDefault="00000000">
            <w:pPr>
              <w:spacing w:after="0"/>
            </w:pPr>
            <w:r>
              <w:rPr>
                <w:b/>
                <w:sz w:val="20"/>
              </w:rPr>
              <w:t>Paris Agreement</w:t>
            </w:r>
          </w:p>
        </w:tc>
        <w:tc>
          <w:tcPr>
            <w:tcW w:w="4873" w:type="dxa"/>
          </w:tcPr>
          <w:p w14:paraId="3F65E182" w14:textId="77777777" w:rsidR="00886B17" w:rsidRDefault="00000000">
            <w:pPr>
              <w:spacing w:after="0"/>
            </w:pPr>
            <w:r>
              <w:rPr>
                <w:sz w:val="20"/>
              </w:rPr>
              <w:t>A legally binding international treaty on climate change aimed at limiting global warming by 2050 by keeping the increase in global average temperature well below 2 degrees Celsius, and preferably to 1.5 degrees Celsius.</w:t>
            </w:r>
          </w:p>
        </w:tc>
      </w:tr>
    </w:tbl>
    <w:p w14:paraId="1F0E2D48" w14:textId="77777777" w:rsidR="00886B17" w:rsidRDefault="00000000">
      <w:pPr>
        <w:pStyle w:val="Heading1"/>
      </w:pPr>
      <w:r>
        <w:t>General Provisions</w:t>
      </w:r>
    </w:p>
    <w:p w14:paraId="7DEBE9CF" w14:textId="77777777" w:rsidR="00886B17" w:rsidRDefault="00000000">
      <w:r>
        <w:t>The purpose of this Policy is to establish the key principles of Flexo Capital in relation to environmental, social and governance matters (hereinafter, ESG), including:</w:t>
      </w:r>
    </w:p>
    <w:p w14:paraId="5E75B56A" w14:textId="77777777" w:rsidR="00886B17" w:rsidRDefault="00000000">
      <w:pPr>
        <w:pStyle w:val="ListBullet"/>
      </w:pPr>
      <w:r>
        <w:t>Flexo Capital’s sustainability ambitions and ESG objectives;</w:t>
      </w:r>
    </w:p>
    <w:p w14:paraId="64BD903A" w14:textId="77777777" w:rsidR="00886B17" w:rsidRDefault="00000000">
      <w:pPr>
        <w:pStyle w:val="ListBullet"/>
      </w:pPr>
      <w:r>
        <w:t>the principles by which Flexo Capital shall be guided in its day-to-day operations in pursuing its ESG objectives and in making ESG an integral component of its business strategy;</w:t>
      </w:r>
    </w:p>
    <w:p w14:paraId="5752F06A" w14:textId="77777777" w:rsidR="00886B17" w:rsidRDefault="00000000">
      <w:pPr>
        <w:pStyle w:val="ListBullet"/>
      </w:pPr>
      <w:r>
        <w:t>the integration of ESG factors into day-to-day operations, thereby contributing to the sustainable development of the world; and</w:t>
      </w:r>
    </w:p>
    <w:p w14:paraId="23DDE934" w14:textId="77777777" w:rsidR="00886B17" w:rsidRDefault="00000000">
      <w:pPr>
        <w:pStyle w:val="ListBullet"/>
      </w:pPr>
      <w:r>
        <w:t>increasing awareness of ESG matters within Flexo Capital.</w:t>
      </w:r>
    </w:p>
    <w:p w14:paraId="13482970" w14:textId="77777777" w:rsidR="00886B17" w:rsidRDefault="00000000">
      <w:r>
        <w:t>This Policy shall be reviewed and updated annually.</w:t>
      </w:r>
    </w:p>
    <w:p w14:paraId="526A7458" w14:textId="77777777" w:rsidR="00886B17" w:rsidRDefault="00000000">
      <w:pPr>
        <w:pStyle w:val="Heading1"/>
      </w:pPr>
      <w:r>
        <w:t>Sustainability</w:t>
      </w:r>
    </w:p>
    <w:p w14:paraId="58FE38D2" w14:textId="77777777" w:rsidR="00886B17" w:rsidRDefault="00000000">
      <w:r>
        <w:t>Financial institutions play an important role in society. Flexo Capital, as a financial intermediary, is required to contribute to the development of a sustainable economy and to support society in the transition towards a sustainable financial ecosystem. Flexo Capital’s activities are based on public trust; therefore, Flexo Capital seeks to act responsibly and to be guided by the long-term interests of society.</w:t>
      </w:r>
    </w:p>
    <w:p w14:paraId="2BD6BCDD" w14:textId="77777777" w:rsidR="00886B17" w:rsidRDefault="00000000">
      <w:r>
        <w:t>For Flexo Capital, sustainability means business development over the long term, taking into account environmental, social and economic objectives. This includes respect for the natural environment and responsible and ethical practices in decision-making and in the products and services offered. Flexo Capital is committed to assisting its clients in the transition to low-carbon technologies. Flexo Capital expects its clients, partners and suppliers to operate responsibly and ethically, including by fully complying with all applicable laws.</w:t>
      </w:r>
    </w:p>
    <w:p w14:paraId="68182554" w14:textId="77777777" w:rsidR="00886B17" w:rsidRDefault="00000000">
      <w:r>
        <w:lastRenderedPageBreak/>
        <w:t>Flexo Capital seeks to minimise the negative, and maximise the positive, non-financial impact of its activities on the environment and society, while also minimising the negative, and maximising the positive, impact of ESG-related risks on the Company.</w:t>
      </w:r>
    </w:p>
    <w:p w14:paraId="015CE674" w14:textId="77777777" w:rsidR="00886B17" w:rsidRDefault="00000000">
      <w:pPr>
        <w:pStyle w:val="Heading1"/>
      </w:pPr>
      <w:r>
        <w:t>Environmental Matters</w:t>
      </w:r>
    </w:p>
    <w:p w14:paraId="6401A8EF" w14:textId="77777777" w:rsidR="00886B17" w:rsidRDefault="00000000">
      <w:r>
        <w:t>Flexo Capital seeks to contribute to the achievement of the established climate protection objectives by the global and Baltic economies. The Company recognises its responsibility to contribute to the development of a sustainable economy and is committed to taking environmental aspects into account in its financing and investment activities. Accordingly, the Company:</w:t>
      </w:r>
    </w:p>
    <w:p w14:paraId="2EBACCE4" w14:textId="77777777" w:rsidR="00886B17" w:rsidRDefault="00000000">
      <w:pPr>
        <w:pStyle w:val="ListBullet"/>
      </w:pPr>
      <w:r>
        <w:t>in support of the objective of the European Union and the region to achieve net-zero emissions by 2050, establishes this objective for its financed portfolio. The net-zero by 2050 objective sets a measurable ambition for the Company to enhance sustainability and strengthen support for clients in their transition towards environmentally sustainable activities;</w:t>
      </w:r>
    </w:p>
    <w:p w14:paraId="4F5313A1" w14:textId="77777777" w:rsidR="00886B17" w:rsidRDefault="00000000">
      <w:pPr>
        <w:pStyle w:val="ListBullet"/>
      </w:pPr>
      <w:r>
        <w:t>endeavours to align its business strategy, governance, risk management and disclosures with expectations relating to climate change and the environmental risks identified by the European Central Bank;</w:t>
      </w:r>
    </w:p>
    <w:p w14:paraId="4124E84C" w14:textId="77777777" w:rsidR="00886B17" w:rsidRDefault="00000000">
      <w:pPr>
        <w:pStyle w:val="ListBullet"/>
      </w:pPr>
      <w:r>
        <w:t>has determined that Flexo Capital shall not finance industries that have a material adverse environmental and/or social impact; and</w:t>
      </w:r>
    </w:p>
    <w:p w14:paraId="3FF07929" w14:textId="77777777" w:rsidR="00886B17" w:rsidRDefault="00000000">
      <w:pPr>
        <w:pStyle w:val="ListBullet"/>
      </w:pPr>
      <w:r>
        <w:t>promotes environmentally sound and sustainable business practices and intends to continue developing new offerings that support the green transition by embedding ESG themes in client propositions and product development.</w:t>
      </w:r>
    </w:p>
    <w:p w14:paraId="0764F3AA" w14:textId="77777777" w:rsidR="00886B17" w:rsidRDefault="00000000">
      <w:r>
        <w:t>In order to identify the areas that have the greatest positive and negative impact on the Company’s business, Flexo Capital conducts portfolio impact analysis and defines, measures and discloses indicators for its environmental projects intended to ensure that climate-related matters and environmental risks are incorporated into the Company’s activities.</w:t>
      </w:r>
    </w:p>
    <w:p w14:paraId="46E46519" w14:textId="77777777" w:rsidR="00886B17" w:rsidRDefault="00000000">
      <w:r>
        <w:t>Flexo Capital undertakes to work with its clients, to educate, encourage and assist them in reducing adverse environmental impacts.</w:t>
      </w:r>
    </w:p>
    <w:p w14:paraId="43074D98" w14:textId="77777777" w:rsidR="00886B17" w:rsidRDefault="00000000">
      <w:pPr>
        <w:pStyle w:val="Heading1"/>
      </w:pPr>
      <w:r>
        <w:t>Social Matters</w:t>
      </w:r>
    </w:p>
    <w:p w14:paraId="0A388E13" w14:textId="77777777" w:rsidR="00886B17" w:rsidRDefault="00000000">
      <w:r>
        <w:t>The social impact of financial institutions is based on their ability to use their expertise, financial products and services to enable people and communities to prosper and grow. Flexo Capital acts towards its clients, partners and employees in accordance with high ethical and professional standards. As a socially responsible company, Flexo Capital supports:</w:t>
      </w:r>
    </w:p>
    <w:p w14:paraId="36AF17D0" w14:textId="77777777" w:rsidR="00886B17" w:rsidRDefault="00000000">
      <w:pPr>
        <w:pStyle w:val="ListBullet"/>
      </w:pPr>
      <w:r>
        <w:t>the responsible provision of financial services to promote the Baltic economies;</w:t>
      </w:r>
    </w:p>
    <w:p w14:paraId="76316724" w14:textId="77777777" w:rsidR="00886B17" w:rsidRDefault="00000000">
      <w:pPr>
        <w:pStyle w:val="ListBullet"/>
      </w:pPr>
      <w:r>
        <w:t>the promotion of financial education and financial literacy in society;</w:t>
      </w:r>
    </w:p>
    <w:p w14:paraId="604ED573" w14:textId="77777777" w:rsidR="00886B17" w:rsidRDefault="00000000">
      <w:pPr>
        <w:pStyle w:val="ListBullet"/>
      </w:pPr>
      <w:r>
        <w:t>the promotion of tolerance in society and the support of charitable projects for people, animals and nature;</w:t>
      </w:r>
    </w:p>
    <w:p w14:paraId="4B5F82E7" w14:textId="77777777" w:rsidR="00886B17" w:rsidRDefault="00000000">
      <w:pPr>
        <w:pStyle w:val="ListBullet"/>
      </w:pPr>
      <w:r>
        <w:t>increasing clients’ trust in Flexo Capital;</w:t>
      </w:r>
    </w:p>
    <w:p w14:paraId="2A2DC7DD" w14:textId="77777777" w:rsidR="00886B17" w:rsidRDefault="00000000">
      <w:pPr>
        <w:pStyle w:val="ListBullet"/>
      </w:pPr>
      <w:r>
        <w:t>accessibility of financial services;</w:t>
      </w:r>
    </w:p>
    <w:p w14:paraId="39592AFF" w14:textId="77777777" w:rsidR="00886B17" w:rsidRDefault="00000000">
      <w:pPr>
        <w:pStyle w:val="ListBullet"/>
      </w:pPr>
      <w:r>
        <w:t>continuous development of internal ESG competence with a view to promoting it in society; and</w:t>
      </w:r>
    </w:p>
    <w:p w14:paraId="2CD35DF1" w14:textId="77777777" w:rsidR="00886B17" w:rsidRDefault="00000000">
      <w:pPr>
        <w:pStyle w:val="ListBullet"/>
      </w:pPr>
      <w:r>
        <w:t>establishing partnerships with relevant stakeholders in order to achieve ESG objectives.</w:t>
      </w:r>
    </w:p>
    <w:p w14:paraId="43C7B035" w14:textId="77777777" w:rsidR="00886B17" w:rsidRDefault="00000000">
      <w:r>
        <w:t>Flexo Capital’s success depends on the well-being of its employees. From an employer’s perspective, Flexo Capital treats all employees with respect, courtesy and professionalism. Flexo Capital is committed to ensuring a favourable working environment that meets current requirements and standards:</w:t>
      </w:r>
    </w:p>
    <w:p w14:paraId="5EBFA9EF" w14:textId="77777777" w:rsidR="00886B17" w:rsidRDefault="00000000">
      <w:pPr>
        <w:pStyle w:val="ListBullet"/>
      </w:pPr>
      <w:r>
        <w:lastRenderedPageBreak/>
        <w:t>No discrimination. Flexo Capital maintains a working environment free from discrimination, prejudice, harassment, abuse of authority and disrespectful conduct.</w:t>
      </w:r>
    </w:p>
    <w:p w14:paraId="79E71701" w14:textId="77777777" w:rsidR="00886B17" w:rsidRDefault="00000000">
      <w:pPr>
        <w:pStyle w:val="ListBullet"/>
      </w:pPr>
      <w:r>
        <w:t>Equality. Flexo Capital regards each employee, irrespective of abilities, qualifications, beliefs and life experience, and regardless of gender, ethnic origin, religion, age or sexual orientation, as an equal member of the team with equal opportunities.</w:t>
      </w:r>
    </w:p>
    <w:p w14:paraId="316A71C2" w14:textId="77777777" w:rsidR="00886B17" w:rsidRDefault="00000000">
      <w:pPr>
        <w:pStyle w:val="ListBullet"/>
      </w:pPr>
      <w:r>
        <w:t>Good working conditions. Flexo Capital ensures comfortable and safe working conditions that comply with work-related standards and requirements, as well as national employment, social security, occupational health and safety standards.</w:t>
      </w:r>
    </w:p>
    <w:p w14:paraId="5B9AE4A2" w14:textId="77777777" w:rsidR="00886B17" w:rsidRDefault="00000000">
      <w:pPr>
        <w:pStyle w:val="ListBullet"/>
      </w:pPr>
      <w:r>
        <w:t>Talent development. Flexo Capital supports the development of the professional skills and competencies of all employees. Employees have access to individualised development plans, a robust training programme, including external and internal courses, and advanced leadership development programmes.</w:t>
      </w:r>
    </w:p>
    <w:p w14:paraId="60420DCA" w14:textId="77777777" w:rsidR="00886B17" w:rsidRDefault="00000000">
      <w:pPr>
        <w:pStyle w:val="ListBullet"/>
      </w:pPr>
      <w:r>
        <w:t>Well-being. Flexo Capital supports an active lifestyle and work-life balance by offering a range of benefits, such as health insurance, sports-related programmes, flexible working arrangements, team events and other measures.</w:t>
      </w:r>
    </w:p>
    <w:p w14:paraId="6117F0A6" w14:textId="77777777" w:rsidR="00886B17" w:rsidRDefault="00000000">
      <w:pPr>
        <w:pStyle w:val="Heading1"/>
      </w:pPr>
      <w:r>
        <w:t>Governance</w:t>
      </w:r>
    </w:p>
    <w:p w14:paraId="6E77EA37" w14:textId="77777777" w:rsidR="00886B17" w:rsidRDefault="00000000">
      <w:r>
        <w:t>Flexo Capital’s activities are based on high standards of ethics and professionalism. The Company has policies, procedures, rules and guidelines that establish a clear and transparent corporate governance framework. The Company also has mechanisms to manage conflicts of interest and to prevent transactions and other actions that could adversely affect trust in Flexo Capital. Flexo Capital is committed to preventing corruption and does not tolerate financial crime or non-compliance with requirements.</w:t>
      </w:r>
    </w:p>
    <w:p w14:paraId="09613EFD" w14:textId="77777777" w:rsidR="00886B17" w:rsidRDefault="00000000">
      <w:r>
        <w:t>In order to ensure the successful integration of ESG factors into Flexo Capital’s internal governance, the Company seeks to:</w:t>
      </w:r>
    </w:p>
    <w:p w14:paraId="72BA1EE3" w14:textId="77777777" w:rsidR="00886B17" w:rsidRDefault="00000000">
      <w:pPr>
        <w:pStyle w:val="ListBullet"/>
      </w:pPr>
      <w:r>
        <w:t>establish a “top-down” practice, whereby the Management Board participates in setting and communicating ESG-related objectives, considerations and expectations;</w:t>
      </w:r>
    </w:p>
    <w:p w14:paraId="693FE665" w14:textId="77777777" w:rsidR="00886B17" w:rsidRDefault="00000000">
      <w:pPr>
        <w:pStyle w:val="ListBullet"/>
      </w:pPr>
      <w:r>
        <w:t>implement and strengthen ESG factors in day-to-day work, governance, the internal control system and remuneration;</w:t>
      </w:r>
    </w:p>
    <w:p w14:paraId="53769B50" w14:textId="77777777" w:rsidR="00886B17" w:rsidRDefault="00000000">
      <w:pPr>
        <w:pStyle w:val="ListBullet"/>
      </w:pPr>
      <w:r>
        <w:t>integrate ESG risk into the governance structure and establish clear working procedures for the business, internal control and other functions, relevant committees and management bodies, in order to ensure a sound and comprehensive approach to incorporating ESG risk into business strategy, business processes and risk management;</w:t>
      </w:r>
    </w:p>
    <w:p w14:paraId="0831381D" w14:textId="77777777" w:rsidR="00886B17" w:rsidRDefault="00000000">
      <w:pPr>
        <w:pStyle w:val="ListBullet"/>
      </w:pPr>
      <w:r>
        <w:t>ensure that ESG risks are clearly integrated into organisational business governance and internal control functions;</w:t>
      </w:r>
    </w:p>
    <w:p w14:paraId="63426129" w14:textId="77777777" w:rsidR="00886B17" w:rsidRDefault="00000000">
      <w:pPr>
        <w:pStyle w:val="ListBullet"/>
      </w:pPr>
      <w:r>
        <w:t>increase awareness, training and expertise in identifying, assessing and managing ESG risks at all levels, including business units, internal control functions and management bodies;</w:t>
      </w:r>
    </w:p>
    <w:p w14:paraId="04965DAE" w14:textId="77777777" w:rsidR="00886B17" w:rsidRDefault="00000000">
      <w:pPr>
        <w:pStyle w:val="ListBullet"/>
      </w:pPr>
      <w:r>
        <w:t>integrate ESG factors into the corporate culture and promote employee conduct consistent with Flexo Capital’s approach to ESG risk; and</w:t>
      </w:r>
    </w:p>
    <w:p w14:paraId="17949263" w14:textId="77777777" w:rsidR="00886B17" w:rsidRDefault="00000000">
      <w:pPr>
        <w:pStyle w:val="ListBullet"/>
      </w:pPr>
      <w:r>
        <w:t>establish governance arrangements that mitigate conflicts of interest, discourage short-termism and reduce ESG-related risks, including greenwashing.</w:t>
      </w:r>
    </w:p>
    <w:p w14:paraId="61E75728" w14:textId="77777777" w:rsidR="00EF4C74" w:rsidRDefault="00EF4C74">
      <w:pPr>
        <w:pStyle w:val="Heading1"/>
      </w:pPr>
    </w:p>
    <w:p w14:paraId="4517726D" w14:textId="77777777" w:rsidR="00EF4C74" w:rsidRDefault="00EF4C74">
      <w:pPr>
        <w:pStyle w:val="Heading1"/>
      </w:pPr>
    </w:p>
    <w:p w14:paraId="39C09FF4" w14:textId="6A010B32" w:rsidR="00886B17" w:rsidRDefault="00000000">
      <w:pPr>
        <w:pStyle w:val="Heading1"/>
      </w:pPr>
      <w:r>
        <w:t>Sustainability Governance of the Company</w:t>
      </w:r>
    </w:p>
    <w:p w14:paraId="53CFE7EB" w14:textId="77777777" w:rsidR="00EF4C74" w:rsidRPr="00EF4C74" w:rsidRDefault="00EF4C74" w:rsidP="00EF4C74"/>
    <w:tbl>
      <w:tblPr>
        <w:tblW w:w="0" w:type="auto"/>
        <w:jc w:val="center"/>
        <w:tblLayout w:type="fixed"/>
        <w:tblCellMar>
          <w:left w:w="0" w:type="dxa"/>
          <w:right w:w="0" w:type="dxa"/>
        </w:tblCellMar>
        <w:tblLook w:val="01E0" w:firstRow="1" w:lastRow="1" w:firstColumn="1" w:lastColumn="1" w:noHBand="0" w:noVBand="0"/>
      </w:tblPr>
      <w:tblGrid>
        <w:gridCol w:w="4486"/>
      </w:tblGrid>
      <w:tr w:rsidR="00EF4C74" w:rsidRPr="00051FD0" w14:paraId="275C6F6A" w14:textId="77777777" w:rsidTr="00DA65A3">
        <w:trPr>
          <w:trHeight w:val="518"/>
          <w:jc w:val="center"/>
        </w:trPr>
        <w:tc>
          <w:tcPr>
            <w:tcW w:w="4486" w:type="dxa"/>
            <w:tcBorders>
              <w:top w:val="single" w:sz="24" w:space="0" w:color="FFFFFF"/>
              <w:bottom w:val="single" w:sz="36" w:space="0" w:color="FFFFFF"/>
            </w:tcBorders>
            <w:shd w:val="clear" w:color="auto" w:fill="6D686F"/>
            <w:vAlign w:val="center"/>
          </w:tcPr>
          <w:p w14:paraId="2002D2C4" w14:textId="3AEA1CA5" w:rsidR="00EF4C74" w:rsidRPr="00051FD0" w:rsidRDefault="00EF4C74" w:rsidP="00DA65A3">
            <w:pPr>
              <w:pStyle w:val="TableParagraph"/>
              <w:spacing w:before="158"/>
              <w:jc w:val="center"/>
              <w:rPr>
                <w:rFonts w:ascii="Arial"/>
                <w:b/>
                <w:sz w:val="18"/>
              </w:rPr>
            </w:pPr>
            <w:r w:rsidRPr="00EF4C74">
              <w:rPr>
                <w:rFonts w:ascii="Arial"/>
                <w:b/>
                <w:color w:val="FFFFFF"/>
                <w:spacing w:val="-2"/>
                <w:sz w:val="18"/>
              </w:rPr>
              <w:t>Management Board</w:t>
            </w:r>
          </w:p>
        </w:tc>
      </w:tr>
      <w:tr w:rsidR="00EF4C74" w:rsidRPr="00051FD0" w14:paraId="2A5B3029" w14:textId="77777777" w:rsidTr="00DA65A3">
        <w:trPr>
          <w:trHeight w:val="518"/>
          <w:jc w:val="center"/>
        </w:trPr>
        <w:tc>
          <w:tcPr>
            <w:tcW w:w="4486" w:type="dxa"/>
            <w:tcBorders>
              <w:top w:val="single" w:sz="36" w:space="0" w:color="FFFFFF"/>
              <w:bottom w:val="single" w:sz="36" w:space="0" w:color="FFFFFF"/>
            </w:tcBorders>
            <w:shd w:val="clear" w:color="auto" w:fill="17365D" w:themeFill="text2" w:themeFillShade="BF"/>
            <w:vAlign w:val="center"/>
          </w:tcPr>
          <w:p w14:paraId="202AF08E" w14:textId="153BFD05" w:rsidR="00EF4C74" w:rsidRPr="00051FD0" w:rsidRDefault="00EF4C74" w:rsidP="00DA65A3">
            <w:pPr>
              <w:pStyle w:val="TableParagraph"/>
              <w:spacing w:before="0"/>
              <w:ind w:left="838" w:right="393" w:hanging="416"/>
              <w:jc w:val="center"/>
              <w:rPr>
                <w:rFonts w:ascii="Arial"/>
                <w:b/>
                <w:sz w:val="18"/>
              </w:rPr>
            </w:pPr>
            <w:r w:rsidRPr="00EF4C74">
              <w:rPr>
                <w:rFonts w:ascii="Arial"/>
                <w:b/>
                <w:color w:val="FFFFFF" w:themeColor="background1"/>
                <w:sz w:val="18"/>
              </w:rPr>
              <w:t>Enterprise Risk Management</w:t>
            </w:r>
          </w:p>
        </w:tc>
      </w:tr>
      <w:tr w:rsidR="00EF4C74" w:rsidRPr="00051FD0" w14:paraId="21D84D01" w14:textId="77777777" w:rsidTr="00DA65A3">
        <w:trPr>
          <w:trHeight w:val="424"/>
          <w:jc w:val="center"/>
        </w:trPr>
        <w:tc>
          <w:tcPr>
            <w:tcW w:w="4486" w:type="dxa"/>
            <w:tcBorders>
              <w:top w:val="single" w:sz="48" w:space="0" w:color="FFFFFF"/>
              <w:bottom w:val="single" w:sz="48" w:space="0" w:color="FFFFFF"/>
            </w:tcBorders>
            <w:shd w:val="clear" w:color="auto" w:fill="FFBBBB"/>
            <w:vAlign w:val="center"/>
          </w:tcPr>
          <w:p w14:paraId="07534DB2" w14:textId="425070B9" w:rsidR="00EF4C74" w:rsidRPr="00051FD0" w:rsidRDefault="00EF4C74" w:rsidP="00DA65A3">
            <w:pPr>
              <w:pStyle w:val="TableParagraph"/>
              <w:spacing w:before="0"/>
              <w:ind w:left="1363"/>
              <w:rPr>
                <w:rFonts w:ascii="Arial"/>
                <w:b/>
                <w:sz w:val="18"/>
              </w:rPr>
            </w:pPr>
            <w:r w:rsidRPr="00EF4C74">
              <w:rPr>
                <w:rFonts w:ascii="Arial"/>
                <w:b/>
                <w:color w:val="FFFFFF"/>
                <w:sz w:val="18"/>
              </w:rPr>
              <w:t>ESG Working Group</w:t>
            </w:r>
          </w:p>
        </w:tc>
      </w:tr>
      <w:tr w:rsidR="00EF4C74" w:rsidRPr="00051FD0" w14:paraId="0FCF1BDB" w14:textId="77777777" w:rsidTr="00DA65A3">
        <w:trPr>
          <w:trHeight w:val="433"/>
          <w:jc w:val="center"/>
        </w:trPr>
        <w:tc>
          <w:tcPr>
            <w:tcW w:w="4486" w:type="dxa"/>
            <w:tcBorders>
              <w:top w:val="single" w:sz="48" w:space="0" w:color="FFFFFF"/>
            </w:tcBorders>
            <w:shd w:val="clear" w:color="auto" w:fill="FFE0E0"/>
          </w:tcPr>
          <w:p w14:paraId="020EE0B4" w14:textId="2867CC42" w:rsidR="00EF4C74" w:rsidRPr="00051FD0" w:rsidRDefault="00EF4C74" w:rsidP="00DA65A3">
            <w:pPr>
              <w:pStyle w:val="TableParagraph"/>
              <w:spacing w:before="150"/>
              <w:ind w:left="1308"/>
              <w:rPr>
                <w:rFonts w:ascii="Arial"/>
                <w:b/>
                <w:sz w:val="18"/>
              </w:rPr>
            </w:pPr>
            <w:r w:rsidRPr="00EF4C74">
              <w:rPr>
                <w:rFonts w:ascii="Arial"/>
                <w:b/>
                <w:sz w:val="18"/>
              </w:rPr>
              <w:t>Support Functions</w:t>
            </w:r>
          </w:p>
        </w:tc>
      </w:tr>
    </w:tbl>
    <w:p w14:paraId="692A6ED2" w14:textId="77777777" w:rsidR="00EF4C74" w:rsidRDefault="00EF4C74"/>
    <w:p w14:paraId="26CF85B4" w14:textId="53C289B9" w:rsidR="00886B17" w:rsidRDefault="00000000">
      <w:r>
        <w:t>The Management Board is responsible for determining the ESG strategy and overseeing its implementation. The Management Board is regularly informed about the Company’s sustainability matters.</w:t>
      </w:r>
    </w:p>
    <w:p w14:paraId="024913E6" w14:textId="77777777" w:rsidR="00886B17" w:rsidRDefault="00000000">
      <w:r>
        <w:t>The Chief Executive Officer of the Company is a member of the management body responsible for implementing the ESG strategy.</w:t>
      </w:r>
    </w:p>
    <w:p w14:paraId="488D194C" w14:textId="77777777" w:rsidR="00886B17" w:rsidRDefault="00000000">
      <w:r>
        <w:t>The Chief Risk Officer of the Company is a member of the Management Board responsible for the implementation of ESG risk within the risk management framework, ensuring ongoing monitoring and reporting to the Management Board.</w:t>
      </w:r>
    </w:p>
    <w:p w14:paraId="68106209" w14:textId="77777777" w:rsidR="00886B17" w:rsidRDefault="00000000">
      <w:r>
        <w:t>The enterprise risk management function develops and updates the risk management policy in order to integrate ESG risk policy and other principles that are consistent with applicable regulatory requirements, and ensures the implementation of key ESG risk factors within the risk management framework and the relevant risk strategies.</w:t>
      </w:r>
    </w:p>
    <w:p w14:paraId="578DD38D" w14:textId="77777777" w:rsidR="00886B17" w:rsidRDefault="00000000">
      <w:r>
        <w:t>The ESG Working Group is established to ensure transparent and effective management of the overall ESG agenda and is composed of key stakeholders, namely representatives of each function with clearly assigned responsibilities. The ESG Working Group is responsible for ensuring that procedures are developed to implement and comply with ESG objectives, and for submitting ESG policies to the Management Board. The ESG Working Group is responsible for integrating responsible principles within the Company. The ESG Working Group is led by the ESG Officer.</w:t>
      </w:r>
    </w:p>
    <w:p w14:paraId="76F9B1B8" w14:textId="77777777" w:rsidR="00886B17" w:rsidRDefault="00000000">
      <w:r>
        <w:t>Support functions provide ESG analysis and implementation support.</w:t>
      </w:r>
    </w:p>
    <w:sectPr w:rsidR="00886B17"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827E8" w14:textId="77777777" w:rsidR="00D0488C" w:rsidRDefault="00D0488C">
      <w:pPr>
        <w:spacing w:after="0" w:line="240" w:lineRule="auto"/>
      </w:pPr>
      <w:r>
        <w:separator/>
      </w:r>
    </w:p>
  </w:endnote>
  <w:endnote w:type="continuationSeparator" w:id="0">
    <w:p w14:paraId="234A59CB" w14:textId="77777777" w:rsidR="00D0488C" w:rsidRDefault="00D04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4837B" w14:textId="7E06CE49" w:rsidR="00886B17" w:rsidRDefault="00000000">
    <w:pPr>
      <w:pStyle w:val="Footer"/>
      <w:jc w:val="center"/>
    </w:pPr>
    <w:r>
      <w:rPr>
        <w:color w:val="808080"/>
        <w:sz w:val="16"/>
      </w:rPr>
      <w:t xml:space="preserve">Flexo Capital UAB | Environmental, Social and Governance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8C0D8" w14:textId="77777777" w:rsidR="00D0488C" w:rsidRDefault="00D0488C">
      <w:pPr>
        <w:spacing w:after="0" w:line="240" w:lineRule="auto"/>
      </w:pPr>
      <w:r>
        <w:separator/>
      </w:r>
    </w:p>
  </w:footnote>
  <w:footnote w:type="continuationSeparator" w:id="0">
    <w:p w14:paraId="05602F4E" w14:textId="77777777" w:rsidR="00D0488C" w:rsidRDefault="00D048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4264756">
    <w:abstractNumId w:val="8"/>
  </w:num>
  <w:num w:numId="2" w16cid:durableId="1276331663">
    <w:abstractNumId w:val="6"/>
  </w:num>
  <w:num w:numId="3" w16cid:durableId="529336902">
    <w:abstractNumId w:val="5"/>
  </w:num>
  <w:num w:numId="4" w16cid:durableId="1904295714">
    <w:abstractNumId w:val="4"/>
  </w:num>
  <w:num w:numId="5" w16cid:durableId="1430930555">
    <w:abstractNumId w:val="7"/>
  </w:num>
  <w:num w:numId="6" w16cid:durableId="1117992852">
    <w:abstractNumId w:val="3"/>
  </w:num>
  <w:num w:numId="7" w16cid:durableId="454714244">
    <w:abstractNumId w:val="2"/>
  </w:num>
  <w:num w:numId="8" w16cid:durableId="287205847">
    <w:abstractNumId w:val="1"/>
  </w:num>
  <w:num w:numId="9" w16cid:durableId="824587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328CB"/>
    <w:rsid w:val="0055382F"/>
    <w:rsid w:val="00886B17"/>
    <w:rsid w:val="00AA1D8D"/>
    <w:rsid w:val="00B47730"/>
    <w:rsid w:val="00CB0664"/>
    <w:rsid w:val="00D0488C"/>
    <w:rsid w:val="00EF4C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9BF904"/>
  <w14:defaultImageDpi w14:val="300"/>
  <w15:docId w15:val="{51442E7D-D734-43E3-8BC9-2D2BF43EF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4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rPr>
      <w:rFonts w:ascii="Aptos" w:eastAsia="Aptos" w:hAnsi="Aptos"/>
      <w:sz w:val="18"/>
    </w:rPr>
  </w:style>
  <w:style w:type="paragraph" w:customStyle="1" w:styleId="TableParagraph">
    <w:name w:val="Table Paragraph"/>
    <w:basedOn w:val="Normal"/>
    <w:uiPriority w:val="1"/>
    <w:qFormat/>
    <w:rsid w:val="00EF4C74"/>
    <w:pPr>
      <w:widowControl w:val="0"/>
      <w:autoSpaceDE w:val="0"/>
      <w:autoSpaceDN w:val="0"/>
      <w:spacing w:before="120" w:after="0" w:line="240" w:lineRule="auto"/>
    </w:pPr>
    <w:rPr>
      <w:rFonts w:ascii="Trebuchet MS" w:eastAsia="Trebuchet MS" w:hAnsi="Trebuchet MS" w:cs="Trebuchet MS"/>
      <w:sz w:val="22"/>
      <w:lang w:val="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1530</Words>
  <Characters>8722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Ausrius Banaitis</cp:lastModifiedBy>
  <cp:revision>3</cp:revision>
  <dcterms:created xsi:type="dcterms:W3CDTF">2013-12-23T23:15:00Z</dcterms:created>
  <dcterms:modified xsi:type="dcterms:W3CDTF">2026-05-19T17:38:00Z</dcterms:modified>
  <cp:category/>
</cp:coreProperties>
</file>